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B8ABB">
      <w:pPr>
        <w:spacing w:line="360" w:lineRule="auto"/>
        <w:rPr>
          <w:rFonts w:hint="eastAsia" w:eastAsia="黑体"/>
          <w:bCs/>
          <w:color w:val="auto"/>
          <w:sz w:val="28"/>
          <w:szCs w:val="28"/>
          <w:highlight w:val="none"/>
        </w:rPr>
      </w:pPr>
      <w:r>
        <w:rPr>
          <w:rFonts w:hint="eastAsia" w:eastAsia="黑体"/>
          <w:bCs/>
          <w:color w:val="auto"/>
          <w:sz w:val="28"/>
          <w:szCs w:val="28"/>
          <w:highlight w:val="none"/>
        </w:rPr>
        <w:t>附件2</w:t>
      </w:r>
    </w:p>
    <w:p w14:paraId="0792BBA9">
      <w:pPr>
        <w:spacing w:line="360" w:lineRule="auto"/>
        <w:jc w:val="center"/>
        <w:rPr>
          <w:rFonts w:hint="eastAsia" w:ascii="黑体" w:hAnsi="黑体" w:eastAsia="黑体" w:cs="黑体"/>
          <w:bCs/>
          <w:color w:val="auto"/>
          <w:sz w:val="44"/>
          <w:szCs w:val="44"/>
          <w:highlight w:val="none"/>
        </w:rPr>
      </w:pPr>
      <w:r>
        <w:rPr>
          <w:rFonts w:hint="eastAsia" w:ascii="黑体" w:hAnsi="黑体" w:eastAsia="黑体" w:cs="黑体"/>
          <w:color w:val="auto"/>
          <w:sz w:val="44"/>
          <w:szCs w:val="44"/>
          <w:highlight w:val="none"/>
        </w:rPr>
        <w:t>前置学历初审线上申请常见问题</w:t>
      </w:r>
    </w:p>
    <w:p w14:paraId="0B316393">
      <w:pPr>
        <w:numPr>
          <w:ilvl w:val="0"/>
          <w:numId w:val="1"/>
        </w:numPr>
        <w:spacing w:line="600" w:lineRule="exact"/>
        <w:rPr>
          <w:rFonts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学信网反馈前置学历未查到</w:t>
      </w:r>
    </w:p>
    <w:p w14:paraId="2049B734">
      <w:pPr>
        <w:spacing w:line="600" w:lineRule="exact"/>
        <w:ind w:firstLine="640" w:firstLineChars="200"/>
        <w:rPr>
          <w:rFonts w:ascii="仿宋" w:hAnsi="仿宋" w:eastAsia="仿宋"/>
          <w:bCs/>
          <w:color w:val="auto"/>
          <w:sz w:val="32"/>
          <w:szCs w:val="32"/>
          <w:highlight w:val="none"/>
        </w:rPr>
      </w:pPr>
      <w:r>
        <w:rPr>
          <w:rFonts w:hint="eastAsia" w:ascii="仿宋" w:hAnsi="仿宋" w:eastAsia="仿宋"/>
          <w:bCs/>
          <w:color w:val="auto"/>
          <w:sz w:val="32"/>
          <w:szCs w:val="32"/>
          <w:highlight w:val="none"/>
        </w:rPr>
        <w:t>考生扫描二维码后，学信网无前置学历信息显示，一般为以下几种情况：</w:t>
      </w:r>
    </w:p>
    <w:p w14:paraId="7EACA9ED">
      <w:pPr>
        <w:spacing w:line="600" w:lineRule="exact"/>
        <w:ind w:firstLine="640" w:firstLineChars="200"/>
        <w:rPr>
          <w:rFonts w:ascii="仿宋" w:hAnsi="仿宋" w:eastAsia="仿宋"/>
          <w:bCs/>
          <w:color w:val="auto"/>
          <w:sz w:val="32"/>
          <w:szCs w:val="32"/>
          <w:highlight w:val="none"/>
        </w:rPr>
      </w:pPr>
      <w:r>
        <w:rPr>
          <w:rFonts w:hint="eastAsia" w:ascii="仿宋" w:hAnsi="仿宋" w:eastAsia="仿宋"/>
          <w:bCs/>
          <w:color w:val="auto"/>
          <w:sz w:val="32"/>
          <w:szCs w:val="32"/>
          <w:highlight w:val="none"/>
        </w:rPr>
        <w:t>（一）前置学历信息（姓名或身份证号）未正确录入</w:t>
      </w:r>
    </w:p>
    <w:p w14:paraId="04AC753B">
      <w:pPr>
        <w:spacing w:line="600" w:lineRule="exact"/>
        <w:ind w:firstLine="640" w:firstLineChars="200"/>
        <w:rPr>
          <w:rFonts w:hint="eastAsia" w:ascii="仿宋" w:hAnsi="仿宋" w:eastAsia="仿宋"/>
          <w:bCs/>
          <w:color w:val="auto"/>
          <w:sz w:val="32"/>
          <w:szCs w:val="32"/>
          <w:highlight w:val="none"/>
        </w:rPr>
      </w:pPr>
      <w:r>
        <w:rPr>
          <w:rFonts w:hint="eastAsia" w:ascii="仿宋" w:hAnsi="仿宋" w:eastAsia="仿宋"/>
          <w:bCs/>
          <w:color w:val="auto"/>
          <w:sz w:val="32"/>
          <w:szCs w:val="32"/>
          <w:highlight w:val="none"/>
        </w:rPr>
        <w:t>考生录入的前置学历信息与在学信网上实际注册的前置学历信息不一致，导致学信网无法反馈学历信息。考生应检查并确保录入信息正确后再提交初审；</w:t>
      </w:r>
    </w:p>
    <w:p w14:paraId="743576C2">
      <w:pPr>
        <w:spacing w:line="600" w:lineRule="exact"/>
        <w:ind w:firstLine="643" w:firstLineChars="200"/>
        <w:rPr>
          <w:rFonts w:ascii="仿宋" w:hAnsi="仿宋" w:eastAsia="仿宋"/>
          <w:b/>
          <w:color w:val="auto"/>
          <w:sz w:val="32"/>
          <w:szCs w:val="32"/>
          <w:highlight w:val="none"/>
        </w:rPr>
      </w:pPr>
      <w:r>
        <w:rPr>
          <w:rFonts w:hint="eastAsia" w:ascii="仿宋" w:hAnsi="仿宋" w:eastAsia="仿宋"/>
          <w:b/>
          <w:color w:val="auto"/>
          <w:sz w:val="32"/>
          <w:szCs w:val="32"/>
          <w:highlight w:val="none"/>
        </w:rPr>
        <w:t>特别提示：2001年以前未在学信网上注册的学历信息，考生应先通过学信网申请学历认证直至学历信息在学信网上注册成功后再申请前置学历初审。在前置学历初审申请时间内未完成学历信息注册的考生，只能下次提交前置学历初审申请。</w:t>
      </w:r>
    </w:p>
    <w:p w14:paraId="0B55BA88">
      <w:pPr>
        <w:spacing w:line="600" w:lineRule="exact"/>
        <w:ind w:firstLine="640" w:firstLineChars="200"/>
        <w:rPr>
          <w:rFonts w:ascii="仿宋" w:hAnsi="仿宋" w:eastAsia="仿宋"/>
          <w:bCs/>
          <w:color w:val="auto"/>
          <w:sz w:val="32"/>
          <w:szCs w:val="32"/>
          <w:highlight w:val="none"/>
        </w:rPr>
      </w:pPr>
      <w:r>
        <w:rPr>
          <w:rFonts w:hint="eastAsia" w:ascii="仿宋" w:hAnsi="仿宋" w:eastAsia="仿宋"/>
          <w:bCs/>
          <w:color w:val="auto"/>
          <w:sz w:val="32"/>
          <w:szCs w:val="32"/>
          <w:highlight w:val="none"/>
        </w:rPr>
        <w:t>（二）前置学历信息属海（境）外学历</w:t>
      </w:r>
    </w:p>
    <w:p w14:paraId="2987407C">
      <w:pPr>
        <w:spacing w:line="600" w:lineRule="exact"/>
        <w:ind w:firstLine="640" w:firstLineChars="200"/>
        <w:rPr>
          <w:rFonts w:ascii="仿宋" w:hAnsi="仿宋" w:eastAsia="仿宋"/>
          <w:bCs/>
          <w:color w:val="auto"/>
          <w:sz w:val="32"/>
          <w:szCs w:val="32"/>
          <w:highlight w:val="none"/>
        </w:rPr>
      </w:pPr>
      <w:r>
        <w:rPr>
          <w:rFonts w:hint="eastAsia" w:ascii="仿宋" w:hAnsi="仿宋" w:eastAsia="仿宋"/>
          <w:bCs/>
          <w:color w:val="auto"/>
          <w:sz w:val="32"/>
          <w:szCs w:val="32"/>
          <w:highlight w:val="none"/>
        </w:rPr>
        <w:t>考生的前置学历属于海（境）外学历，不在学信网学历查询范围之内，导致学信网无法反馈学历信息。考生需提供在相关指定学历认证官方网站上查实的学历证明至人工审核，如海外学历需提供在教育部（中国）留学服务中心上查实的学历证明等。</w:t>
      </w:r>
    </w:p>
    <w:p w14:paraId="79BCFEEE">
      <w:pPr>
        <w:numPr>
          <w:ilvl w:val="0"/>
          <w:numId w:val="1"/>
        </w:numPr>
        <w:spacing w:line="600" w:lineRule="exact"/>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学信网反馈前置学历已查到，但前置学历不符合自学考试专升本专业毕业要求</w:t>
      </w:r>
    </w:p>
    <w:p w14:paraId="4EABE773">
      <w:pPr>
        <w:spacing w:line="600" w:lineRule="exact"/>
        <w:ind w:firstLine="640" w:firstLineChars="200"/>
        <w:rPr>
          <w:rFonts w:ascii="黑体" w:hAnsi="黑体" w:eastAsia="黑体" w:cs="黑体"/>
          <w:bCs/>
          <w:color w:val="auto"/>
          <w:sz w:val="32"/>
          <w:szCs w:val="32"/>
          <w:highlight w:val="none"/>
        </w:rPr>
      </w:pPr>
      <w:r>
        <w:rPr>
          <w:rFonts w:ascii="仿宋" w:hAnsi="仿宋" w:eastAsia="仿宋"/>
          <w:bCs/>
          <w:color w:val="auto"/>
          <w:sz w:val="32"/>
          <w:szCs w:val="32"/>
          <w:highlight w:val="none"/>
        </w:rPr>
        <w:t>普通高校本科肄业</w:t>
      </w:r>
      <w:r>
        <w:rPr>
          <w:rFonts w:hint="eastAsia" w:ascii="仿宋" w:hAnsi="仿宋" w:eastAsia="仿宋"/>
          <w:bCs/>
          <w:color w:val="auto"/>
          <w:sz w:val="32"/>
          <w:szCs w:val="32"/>
          <w:highlight w:val="none"/>
        </w:rPr>
        <w:t>证书</w:t>
      </w:r>
      <w:r>
        <w:rPr>
          <w:rFonts w:ascii="仿宋" w:hAnsi="仿宋" w:eastAsia="仿宋"/>
          <w:bCs/>
          <w:color w:val="auto"/>
          <w:sz w:val="32"/>
          <w:szCs w:val="32"/>
          <w:highlight w:val="none"/>
        </w:rPr>
        <w:t>、结业</w:t>
      </w:r>
      <w:r>
        <w:rPr>
          <w:rFonts w:hint="eastAsia" w:ascii="仿宋" w:hAnsi="仿宋" w:eastAsia="仿宋"/>
          <w:bCs/>
          <w:color w:val="auto"/>
          <w:sz w:val="32"/>
          <w:szCs w:val="32"/>
          <w:highlight w:val="none"/>
        </w:rPr>
        <w:t>证书，不能作为自学考试专升本专业毕业的前置学历，请考生务必选择“毕业证书”作为前置学历，否则无法通过前置学历初审。依据为《</w:t>
      </w:r>
      <w:r>
        <w:rPr>
          <w:rFonts w:hint="eastAsia" w:ascii="仿宋" w:hAnsi="仿宋" w:eastAsia="仿宋"/>
          <w:color w:val="auto"/>
          <w:sz w:val="32"/>
          <w:szCs w:val="32"/>
          <w:highlight w:val="none"/>
        </w:rPr>
        <w:t>四川省高等教育招生考试委员会 四川省教育厅关于调整我省高等教育自学考试本科学习和毕业证书申请有关规定的通知》</w:t>
      </w:r>
      <w:r>
        <w:rPr>
          <w:rFonts w:hint="eastAsia" w:ascii="仿宋" w:hAnsi="仿宋" w:eastAsia="仿宋"/>
          <w:bCs/>
          <w:color w:val="auto"/>
          <w:sz w:val="32"/>
          <w:szCs w:val="32"/>
          <w:highlight w:val="none"/>
        </w:rPr>
        <w:t>（川招考委</w:t>
      </w:r>
      <w:r>
        <w:rPr>
          <w:rFonts w:ascii="仿宋" w:hAnsi="仿宋" w:eastAsia="仿宋"/>
          <w:bCs/>
          <w:color w:val="auto"/>
          <w:sz w:val="32"/>
          <w:szCs w:val="32"/>
          <w:highlight w:val="none"/>
        </w:rPr>
        <w:t>〔</w:t>
      </w:r>
      <w:r>
        <w:rPr>
          <w:rFonts w:hint="eastAsia" w:ascii="仿宋" w:hAnsi="仿宋" w:eastAsia="仿宋"/>
          <w:bCs/>
          <w:color w:val="auto"/>
          <w:sz w:val="32"/>
          <w:szCs w:val="32"/>
          <w:highlight w:val="none"/>
        </w:rPr>
        <w:t>2015</w:t>
      </w:r>
      <w:r>
        <w:rPr>
          <w:rFonts w:ascii="仿宋" w:hAnsi="仿宋" w:eastAsia="仿宋"/>
          <w:bCs/>
          <w:color w:val="auto"/>
          <w:sz w:val="32"/>
          <w:szCs w:val="32"/>
          <w:highlight w:val="none"/>
        </w:rPr>
        <w:t>〕</w:t>
      </w:r>
      <w:r>
        <w:rPr>
          <w:rFonts w:hint="eastAsia" w:ascii="仿宋" w:hAnsi="仿宋" w:eastAsia="仿宋"/>
          <w:bCs/>
          <w:color w:val="auto"/>
          <w:sz w:val="32"/>
          <w:szCs w:val="32"/>
          <w:highlight w:val="none"/>
        </w:rPr>
        <w:t>11号）“</w:t>
      </w:r>
      <w:r>
        <w:rPr>
          <w:rFonts w:ascii="仿宋" w:hAnsi="仿宋" w:eastAsia="仿宋"/>
          <w:bCs/>
          <w:color w:val="auto"/>
          <w:sz w:val="32"/>
          <w:szCs w:val="32"/>
          <w:highlight w:val="none"/>
        </w:rPr>
        <w:t>普通高校本科肄业</w:t>
      </w:r>
      <w:r>
        <w:rPr>
          <w:rFonts w:hint="eastAsia" w:ascii="仿宋" w:hAnsi="仿宋" w:eastAsia="仿宋"/>
          <w:bCs/>
          <w:color w:val="auto"/>
          <w:sz w:val="32"/>
          <w:szCs w:val="32"/>
          <w:highlight w:val="none"/>
        </w:rPr>
        <w:t>证书</w:t>
      </w:r>
      <w:r>
        <w:rPr>
          <w:rFonts w:ascii="仿宋" w:hAnsi="仿宋" w:eastAsia="仿宋"/>
          <w:bCs/>
          <w:color w:val="auto"/>
          <w:sz w:val="32"/>
          <w:szCs w:val="32"/>
          <w:highlight w:val="none"/>
        </w:rPr>
        <w:t>、结业</w:t>
      </w:r>
      <w:r>
        <w:rPr>
          <w:rFonts w:hint="eastAsia" w:ascii="仿宋" w:hAnsi="仿宋" w:eastAsia="仿宋"/>
          <w:bCs/>
          <w:color w:val="auto"/>
          <w:sz w:val="32"/>
          <w:szCs w:val="32"/>
          <w:highlight w:val="none"/>
        </w:rPr>
        <w:t>证书从2015年1月起不能作为</w:t>
      </w:r>
      <w:r>
        <w:rPr>
          <w:rFonts w:ascii="仿宋" w:hAnsi="仿宋" w:eastAsia="仿宋"/>
          <w:bCs/>
          <w:color w:val="auto"/>
          <w:sz w:val="32"/>
          <w:szCs w:val="32"/>
          <w:highlight w:val="none"/>
        </w:rPr>
        <w:t>申请自学考试专升本专业毕业的</w:t>
      </w:r>
      <w:r>
        <w:rPr>
          <w:rFonts w:hint="eastAsia" w:ascii="仿宋" w:hAnsi="仿宋" w:eastAsia="仿宋"/>
          <w:bCs/>
          <w:color w:val="auto"/>
          <w:sz w:val="32"/>
          <w:szCs w:val="32"/>
          <w:highlight w:val="none"/>
        </w:rPr>
        <w:t>前置学历。”</w:t>
      </w:r>
    </w:p>
    <w:p w14:paraId="6E2B954A">
      <w:pPr>
        <w:spacing w:line="600" w:lineRule="exact"/>
        <w:rPr>
          <w:rFonts w:ascii="仿宋" w:hAnsi="仿宋" w:eastAsia="仿宋"/>
          <w:bCs/>
          <w:color w:val="auto"/>
          <w:sz w:val="32"/>
          <w:szCs w:val="32"/>
          <w:highlight w:val="none"/>
        </w:rPr>
      </w:pPr>
      <w:r>
        <w:rPr>
          <w:rFonts w:hint="eastAsia" w:ascii="黑体" w:hAnsi="黑体" w:eastAsia="黑体" w:cs="黑体"/>
          <w:bCs/>
          <w:color w:val="auto"/>
          <w:sz w:val="32"/>
          <w:szCs w:val="32"/>
          <w:highlight w:val="none"/>
        </w:rPr>
        <w:t>三、学信网反馈前置学历已查到，但前置学历信息与考生拟毕业的自学考试考籍信息不一致</w:t>
      </w:r>
    </w:p>
    <w:p w14:paraId="3F0C824D">
      <w:pPr>
        <w:spacing w:line="600" w:lineRule="exact"/>
        <w:ind w:firstLine="640" w:firstLineChars="200"/>
        <w:rPr>
          <w:rFonts w:hint="eastAsia" w:ascii="仿宋" w:hAnsi="仿宋" w:eastAsia="仿宋"/>
          <w:bCs/>
          <w:color w:val="auto"/>
          <w:sz w:val="32"/>
          <w:szCs w:val="32"/>
          <w:highlight w:val="none"/>
        </w:rPr>
      </w:pPr>
      <w:r>
        <w:rPr>
          <w:rFonts w:hint="eastAsia" w:ascii="仿宋" w:hAnsi="仿宋" w:eastAsia="仿宋"/>
          <w:bCs/>
          <w:color w:val="auto"/>
          <w:sz w:val="32"/>
          <w:szCs w:val="32"/>
          <w:highlight w:val="none"/>
        </w:rPr>
        <w:t>（一）前置学历注册的证件号为士官号或军官号的，考生应上传完整清晰的有效居民身份证正/反面、学信网带证件号信息的学籍在线验证报告、相关部门出具的军官号（士官号）与考籍库身份证号为同一人的证明材料至人工审核；</w:t>
      </w:r>
    </w:p>
    <w:p w14:paraId="342B58ED">
      <w:pPr>
        <w:spacing w:line="600" w:lineRule="exact"/>
        <w:ind w:firstLine="640" w:firstLineChars="200"/>
        <w:rPr>
          <w:rFonts w:hint="eastAsia" w:ascii="仿宋" w:hAnsi="仿宋" w:eastAsia="仿宋"/>
          <w:bCs/>
          <w:color w:val="auto"/>
          <w:sz w:val="32"/>
          <w:szCs w:val="32"/>
          <w:highlight w:val="none"/>
        </w:rPr>
      </w:pPr>
      <w:r>
        <w:rPr>
          <w:rFonts w:hint="eastAsia" w:ascii="仿宋" w:hAnsi="仿宋" w:eastAsia="仿宋" w:cs="仿宋"/>
          <w:color w:val="auto"/>
          <w:sz w:val="32"/>
          <w:szCs w:val="32"/>
          <w:highlight w:val="none"/>
        </w:rPr>
        <w:t>（二）前置学历注册的</w:t>
      </w:r>
      <w:r>
        <w:rPr>
          <w:rFonts w:hint="eastAsia" w:ascii="仿宋" w:hAnsi="仿宋" w:eastAsia="仿宋"/>
          <w:bCs/>
          <w:color w:val="auto"/>
          <w:sz w:val="32"/>
          <w:szCs w:val="32"/>
          <w:highlight w:val="none"/>
        </w:rPr>
        <w:t>身份证号为15位的（现正常升位至18位，号码未发生更改），考生应上传完整清晰的身份证正/反面、学信网带证件号信息的学籍在线验证报告、个人身份证号升位的书面情况说明（无需出具公安机关证明）至人工审核；</w:t>
      </w:r>
    </w:p>
    <w:p w14:paraId="7B9834D7">
      <w:pPr>
        <w:spacing w:line="600" w:lineRule="exact"/>
        <w:ind w:firstLine="640" w:firstLineChars="200"/>
        <w:rPr>
          <w:rFonts w:ascii="仿宋" w:hAnsi="仿宋" w:eastAsia="仿宋"/>
          <w:bCs/>
          <w:color w:val="auto"/>
          <w:sz w:val="32"/>
          <w:szCs w:val="32"/>
          <w:highlight w:val="none"/>
        </w:rPr>
      </w:pPr>
      <w:r>
        <w:rPr>
          <w:rFonts w:hint="eastAsia" w:ascii="仿宋" w:hAnsi="仿宋" w:eastAsia="仿宋"/>
          <w:bCs/>
          <w:color w:val="auto"/>
          <w:sz w:val="32"/>
          <w:szCs w:val="32"/>
          <w:highlight w:val="none"/>
        </w:rPr>
        <w:t>（三）前置学历注册的姓名或身份证号属</w:t>
      </w:r>
      <w:r>
        <w:rPr>
          <w:rFonts w:hint="eastAsia" w:ascii="仿宋" w:hAnsi="仿宋" w:eastAsia="仿宋"/>
          <w:color w:val="auto"/>
          <w:sz w:val="32"/>
          <w:szCs w:val="32"/>
          <w:highlight w:val="none"/>
        </w:rPr>
        <w:t>在前置学历颁证时间之后</w:t>
      </w:r>
      <w:r>
        <w:rPr>
          <w:rFonts w:hint="eastAsia" w:ascii="仿宋" w:hAnsi="仿宋" w:eastAsia="仿宋"/>
          <w:bCs/>
          <w:color w:val="auto"/>
          <w:sz w:val="32"/>
          <w:szCs w:val="32"/>
          <w:highlight w:val="none"/>
        </w:rPr>
        <w:t>通过公安机关合法变更的，考生应上传完整清晰的身份证正/反面、学信网带证件号信息的学籍在线验证报告、公安机关出具的变更证明材料（身份证号变更的提交身份证号变更证明，姓名变更的提交户口本带曾用名页）至人工审核；</w:t>
      </w:r>
    </w:p>
    <w:p w14:paraId="4AA11784">
      <w:pPr>
        <w:spacing w:line="600" w:lineRule="exact"/>
        <w:ind w:firstLine="643" w:firstLineChars="200"/>
        <w:rPr>
          <w:rFonts w:hint="eastAsia" w:ascii="仿宋" w:hAnsi="仿宋" w:eastAsia="仿宋"/>
          <w:bCs/>
          <w:color w:val="auto"/>
          <w:sz w:val="32"/>
          <w:szCs w:val="32"/>
          <w:highlight w:val="none"/>
        </w:rPr>
      </w:pPr>
      <w:r>
        <w:rPr>
          <w:rFonts w:hint="eastAsia" w:ascii="仿宋" w:hAnsi="仿宋" w:eastAsia="仿宋"/>
          <w:b/>
          <w:color w:val="auto"/>
          <w:sz w:val="32"/>
          <w:szCs w:val="32"/>
          <w:highlight w:val="none"/>
        </w:rPr>
        <w:t>特别提示：</w:t>
      </w:r>
      <w:r>
        <w:rPr>
          <w:rFonts w:hint="eastAsia" w:ascii="仿宋" w:hAnsi="仿宋" w:eastAsia="仿宋"/>
          <w:bCs/>
          <w:color w:val="auto"/>
          <w:sz w:val="32"/>
          <w:szCs w:val="32"/>
          <w:highlight w:val="none"/>
        </w:rPr>
        <w:t>前置学历注册的名字或身份证号属在前置学历颁证时间之前已经发生错误的，考生须向前置学历颁证机构申请更正。未在规定时间内完成更正的考生，本次拟毕业的学历信息将无法在学信网上成功注册，只能更正后下一次重新提出毕业申请。</w:t>
      </w:r>
    </w:p>
    <w:p w14:paraId="278BF157">
      <w:pPr>
        <w:spacing w:line="600" w:lineRule="exact"/>
        <w:ind w:firstLine="640" w:firstLineChars="200"/>
        <w:rPr>
          <w:rFonts w:hint="eastAsia" w:ascii="仿宋" w:hAnsi="仿宋" w:eastAsia="仿宋"/>
          <w:bCs/>
          <w:color w:val="auto"/>
          <w:sz w:val="32"/>
          <w:szCs w:val="32"/>
          <w:highlight w:val="none"/>
        </w:rPr>
      </w:pPr>
    </w:p>
    <w:p w14:paraId="328CE143">
      <w:pPr>
        <w:spacing w:line="600" w:lineRule="exact"/>
        <w:ind w:firstLine="640" w:firstLineChars="200"/>
        <w:rPr>
          <w:rFonts w:hint="eastAsia" w:ascii="仿宋" w:hAnsi="仿宋" w:eastAsia="仿宋"/>
          <w:bCs/>
          <w:color w:val="auto"/>
          <w:sz w:val="32"/>
          <w:szCs w:val="32"/>
          <w:highlight w:val="none"/>
        </w:rPr>
      </w:pPr>
    </w:p>
    <w:p w14:paraId="193C8849">
      <w:pPr>
        <w:spacing w:line="600" w:lineRule="exact"/>
        <w:ind w:firstLine="640" w:firstLineChars="200"/>
        <w:rPr>
          <w:rFonts w:hint="eastAsia" w:ascii="仿宋" w:hAnsi="仿宋" w:eastAsia="仿宋"/>
          <w:bCs/>
          <w:color w:val="auto"/>
          <w:sz w:val="32"/>
          <w:szCs w:val="32"/>
          <w:highlight w:val="none"/>
        </w:rPr>
      </w:pPr>
    </w:p>
    <w:p w14:paraId="26C6690E">
      <w:pPr>
        <w:spacing w:line="600" w:lineRule="exact"/>
        <w:ind w:firstLine="640" w:firstLineChars="200"/>
        <w:rPr>
          <w:rFonts w:hint="eastAsia" w:ascii="仿宋" w:hAnsi="仿宋" w:eastAsia="仿宋"/>
          <w:bCs/>
          <w:color w:val="auto"/>
          <w:sz w:val="32"/>
          <w:szCs w:val="32"/>
          <w:highlight w:val="none"/>
        </w:rPr>
      </w:pPr>
    </w:p>
    <w:p w14:paraId="65791D28">
      <w:pPr>
        <w:spacing w:line="600" w:lineRule="exact"/>
        <w:ind w:firstLine="640" w:firstLineChars="200"/>
        <w:rPr>
          <w:rFonts w:hint="eastAsia" w:ascii="仿宋" w:hAnsi="仿宋" w:eastAsia="仿宋"/>
          <w:bCs/>
          <w:color w:val="auto"/>
          <w:sz w:val="32"/>
          <w:szCs w:val="32"/>
          <w:highlight w:val="none"/>
        </w:rPr>
      </w:pPr>
    </w:p>
    <w:p w14:paraId="4C50E83C">
      <w:pPr>
        <w:spacing w:line="600" w:lineRule="exact"/>
        <w:ind w:firstLine="640" w:firstLineChars="200"/>
        <w:rPr>
          <w:rFonts w:hint="eastAsia" w:ascii="仿宋" w:hAnsi="仿宋" w:eastAsia="仿宋"/>
          <w:bCs/>
          <w:color w:val="auto"/>
          <w:sz w:val="32"/>
          <w:szCs w:val="32"/>
          <w:highlight w:val="none"/>
        </w:rPr>
      </w:pPr>
    </w:p>
    <w:p w14:paraId="3784BEC0">
      <w:pPr>
        <w:spacing w:line="600" w:lineRule="exact"/>
        <w:ind w:firstLine="640" w:firstLineChars="200"/>
        <w:rPr>
          <w:rFonts w:hint="eastAsia" w:ascii="仿宋" w:hAnsi="仿宋" w:eastAsia="仿宋"/>
          <w:bCs/>
          <w:color w:val="auto"/>
          <w:sz w:val="32"/>
          <w:szCs w:val="32"/>
          <w:highlight w:val="none"/>
        </w:rPr>
      </w:pPr>
    </w:p>
    <w:p w14:paraId="3BAF131B">
      <w:pPr>
        <w:spacing w:line="600" w:lineRule="exact"/>
        <w:ind w:firstLine="640" w:firstLineChars="200"/>
        <w:rPr>
          <w:rFonts w:hint="eastAsia" w:ascii="仿宋" w:hAnsi="仿宋" w:eastAsia="仿宋"/>
          <w:bCs/>
          <w:color w:val="auto"/>
          <w:sz w:val="32"/>
          <w:szCs w:val="32"/>
          <w:highlight w:val="none"/>
        </w:rPr>
      </w:pPr>
    </w:p>
    <w:p w14:paraId="09013734">
      <w:pPr>
        <w:spacing w:line="600" w:lineRule="exact"/>
        <w:ind w:firstLine="640" w:firstLineChars="200"/>
        <w:rPr>
          <w:rFonts w:hint="eastAsia" w:ascii="仿宋" w:hAnsi="仿宋" w:eastAsia="仿宋"/>
          <w:bCs/>
          <w:color w:val="auto"/>
          <w:sz w:val="32"/>
          <w:szCs w:val="32"/>
          <w:highlight w:val="none"/>
        </w:rPr>
      </w:pPr>
    </w:p>
    <w:p w14:paraId="11E009FA">
      <w:pPr>
        <w:spacing w:line="600" w:lineRule="exact"/>
        <w:ind w:firstLine="640" w:firstLineChars="200"/>
        <w:rPr>
          <w:rFonts w:hint="eastAsia" w:ascii="仿宋" w:hAnsi="仿宋" w:eastAsia="仿宋"/>
          <w:bCs/>
          <w:color w:val="auto"/>
          <w:sz w:val="32"/>
          <w:szCs w:val="32"/>
          <w:highlight w:val="none"/>
        </w:rPr>
      </w:pPr>
    </w:p>
    <w:p w14:paraId="22010836">
      <w:pPr>
        <w:spacing w:line="360" w:lineRule="auto"/>
        <w:rPr>
          <w:rFonts w:hint="eastAsia" w:eastAsia="黑体"/>
          <w:color w:val="auto"/>
          <w:sz w:val="28"/>
          <w:szCs w:val="28"/>
          <w:highlight w:val="none"/>
        </w:rPr>
      </w:pPr>
    </w:p>
    <w:p w14:paraId="727A55AB">
      <w:pPr>
        <w:spacing w:line="360" w:lineRule="auto"/>
        <w:rPr>
          <w:rFonts w:hint="eastAsia" w:eastAsia="黑体"/>
          <w:color w:val="auto"/>
          <w:sz w:val="28"/>
          <w:szCs w:val="28"/>
          <w:highlight w:val="none"/>
        </w:rPr>
      </w:pPr>
    </w:p>
    <w:p w14:paraId="29F85AAE">
      <w:pPr>
        <w:spacing w:line="360" w:lineRule="auto"/>
        <w:rPr>
          <w:rFonts w:hint="eastAsia" w:eastAsia="黑体"/>
          <w:color w:val="auto"/>
          <w:sz w:val="28"/>
          <w:szCs w:val="28"/>
          <w:highlight w:val="none"/>
        </w:rPr>
      </w:pPr>
    </w:p>
    <w:p w14:paraId="3A30DDD3">
      <w:pPr>
        <w:spacing w:line="360" w:lineRule="auto"/>
        <w:rPr>
          <w:rFonts w:hint="eastAsia" w:eastAsia="黑体"/>
          <w:color w:val="auto"/>
          <w:sz w:val="28"/>
          <w:szCs w:val="28"/>
          <w:highlight w:val="none"/>
        </w:rPr>
      </w:pPr>
    </w:p>
    <w:p w14:paraId="2BBF0247">
      <w:pPr>
        <w:spacing w:line="360" w:lineRule="auto"/>
        <w:rPr>
          <w:rFonts w:hint="eastAsia" w:eastAsia="黑体"/>
          <w:color w:val="auto"/>
          <w:sz w:val="28"/>
          <w:szCs w:val="28"/>
          <w:highlight w:val="none"/>
        </w:rPr>
      </w:pPr>
    </w:p>
    <w:p w14:paraId="2627217B">
      <w:pPr>
        <w:spacing w:line="360" w:lineRule="auto"/>
        <w:rPr>
          <w:rFonts w:hint="eastAsia" w:eastAsia="黑体"/>
          <w:color w:val="auto"/>
          <w:sz w:val="28"/>
          <w:szCs w:val="28"/>
          <w:highlight w:val="none"/>
        </w:rPr>
      </w:pPr>
    </w:p>
    <w:p w14:paraId="7D74C92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861626"/>
    <w:multiLevelType w:val="singleLevel"/>
    <w:tmpl w:val="2486162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yZWM2N2ZjMWFmNWRmYTE3YTNkY2Y3M2I4NWY3NjkifQ=="/>
  </w:docVars>
  <w:rsids>
    <w:rsidRoot w:val="00000000"/>
    <w:rsid w:val="146A2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2024-11-08T07:49:48Z</dcterms:created>
  <dc:creator>Administrator</dc:creator>
  <cp:lastModifiedBy>领航者</cp:lastModifiedBy>
  <dcterms:modified xsi:type="dcterms:W3CDTF">2024-11-08T07:50:03Z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54AA18C7883B458B88083019C100F801_12</vt:lpwstr>
  </property>
</Properties>
</file>